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EEA" w:rsidRPr="00E327EE" w:rsidRDefault="003F5EEA" w:rsidP="003F5EEA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28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3F5EEA" w:rsidRPr="00E327EE" w:rsidTr="00B51497">
        <w:tc>
          <w:tcPr>
            <w:tcW w:w="334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ỦY BAN 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Â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 DÂN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3F5EEA" w:rsidRPr="00E327EE" w:rsidTr="00B51497">
        <w:tc>
          <w:tcPr>
            <w:tcW w:w="334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/QĐ-KNCG</w:t>
            </w:r>
          </w:p>
        </w:tc>
        <w:tc>
          <w:tcPr>
            <w:tcW w:w="5508" w:type="dxa"/>
          </w:tcPr>
          <w:p w:rsidR="003F5EEA" w:rsidRPr="00E327EE" w:rsidRDefault="003F5EEA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27EE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…..,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ngày....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…….</w:t>
            </w:r>
          </w:p>
        </w:tc>
      </w:tr>
    </w:tbl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3F5EEA" w:rsidRPr="00E327EE" w:rsidRDefault="003F5EEA" w:rsidP="003F5EE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3F5EEA" w:rsidRPr="00E327EE" w:rsidRDefault="003F5EEA" w:rsidP="003F5EE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Khám n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ơ</w:t>
      </w:r>
      <w:r w:rsidRPr="00E327EE">
        <w:rPr>
          <w:rFonts w:ascii="Arial" w:hAnsi="Arial" w:cs="Arial"/>
          <w:b/>
          <w:bCs/>
          <w:sz w:val="20"/>
          <w:szCs w:val="20"/>
        </w:rPr>
        <w:t>i cất giấu tang vật, phương ti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ệ</w:t>
      </w:r>
      <w:r w:rsidRPr="00E327EE">
        <w:rPr>
          <w:rFonts w:ascii="Arial" w:hAnsi="Arial" w:cs="Arial"/>
          <w:b/>
          <w:bCs/>
          <w:sz w:val="20"/>
          <w:szCs w:val="20"/>
        </w:rPr>
        <w:t>n vi phạm hành chính là ch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ỗ</w:t>
      </w:r>
      <w:r w:rsidRPr="00E327EE">
        <w:rPr>
          <w:rFonts w:ascii="Arial" w:hAnsi="Arial" w:cs="Arial"/>
          <w:b/>
          <w:bCs/>
          <w:sz w:val="20"/>
          <w:szCs w:val="20"/>
        </w:rPr>
        <w:t xml:space="preserve"> ở*</w:t>
      </w:r>
    </w:p>
    <w:p w:rsidR="003F5EEA" w:rsidRPr="00E327EE" w:rsidRDefault="003F5EEA" w:rsidP="003F5EE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 xml:space="preserve">CHỦ TỊCH ỦY BAN NHÂN DÂN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(1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:rsidR="003F5EEA" w:rsidRPr="00E327EE" w:rsidRDefault="003F5EEA" w:rsidP="003F5EEA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Luật Tổ chức chính quyền địa phương (sửa đổi,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ổ sung năm 2019); </w:t>
      </w:r>
    </w:p>
    <w:p w:rsidR="003F5EEA" w:rsidRPr="00E327EE" w:rsidRDefault="003F5EEA" w:rsidP="003F5EEA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Điều 129 Luật Xử lý vi phạm hành chính (sửa đổi,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E327EE">
        <w:rPr>
          <w:rFonts w:ascii="Arial" w:hAnsi="Arial" w:cs="Arial"/>
          <w:i/>
          <w:iCs/>
          <w:sz w:val="20"/>
          <w:szCs w:val="20"/>
        </w:rPr>
        <w:t>ổ sung năm 2020);</w:t>
      </w:r>
    </w:p>
    <w:p w:rsidR="003F5EEA" w:rsidRPr="00C23EE1" w:rsidRDefault="003F5EEA" w:rsidP="003F5EEA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Xét đề nghị của 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(3)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………</w:t>
      </w:r>
      <w:r>
        <w:rPr>
          <w:rFonts w:ascii="Arial" w:hAnsi="Arial" w:cs="Arial"/>
          <w:i/>
          <w:iCs/>
          <w:sz w:val="20"/>
          <w:szCs w:val="20"/>
          <w:lang w:val="en-US"/>
        </w:rPr>
        <w:t>…………………………………………………………………………………</w:t>
      </w:r>
    </w:p>
    <w:p w:rsidR="003F5EEA" w:rsidRPr="00E327EE" w:rsidRDefault="003F5EEA" w:rsidP="003F5EE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3F5EEA" w:rsidRPr="00E327EE" w:rsidRDefault="003F5EEA" w:rsidP="003F5EEA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Khám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 xml:space="preserve">t giấu tang vật, phương tiện vi phạm hành chính </w:t>
      </w:r>
      <w:r w:rsidRPr="00E327EE">
        <w:rPr>
          <w:rFonts w:ascii="Arial" w:hAnsi="Arial" w:cs="Arial"/>
          <w:sz w:val="20"/>
          <w:szCs w:val="20"/>
          <w:vertAlign w:val="superscript"/>
        </w:rPr>
        <w:t>(4)</w:t>
      </w:r>
      <w:r w:rsidRPr="00E327EE">
        <w:rPr>
          <w:rFonts w:ascii="Arial" w:hAnsi="Arial" w:cs="Arial"/>
          <w:sz w:val="20"/>
          <w:szCs w:val="20"/>
        </w:rPr>
        <w:t xml:space="preserve">: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………………………………. </w:t>
      </w:r>
      <w:r w:rsidRPr="00E327EE">
        <w:rPr>
          <w:rFonts w:ascii="Arial" w:hAnsi="Arial" w:cs="Arial"/>
          <w:sz w:val="20"/>
          <w:szCs w:val="20"/>
        </w:rPr>
        <w:t xml:space="preserve">đối với </w:t>
      </w:r>
      <w:r w:rsidRPr="00E327EE">
        <w:rPr>
          <w:rFonts w:ascii="Arial" w:hAnsi="Arial" w:cs="Arial"/>
          <w:i/>
          <w:iCs/>
          <w:sz w:val="20"/>
          <w:szCs w:val="20"/>
        </w:rPr>
        <w:t>&lt;chủ sở 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ữ</w:t>
      </w:r>
      <w:r w:rsidRPr="00E327EE">
        <w:rPr>
          <w:rFonts w:ascii="Arial" w:hAnsi="Arial" w:cs="Arial"/>
          <w:i/>
          <w:iCs/>
          <w:sz w:val="20"/>
          <w:szCs w:val="20"/>
        </w:rPr>
        <w:t>u/quản lý/sử dụng&gt;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nơi bị khám là </w:t>
      </w:r>
      <w:r w:rsidRPr="00E327EE">
        <w:rPr>
          <w:rFonts w:ascii="Arial" w:hAnsi="Arial" w:cs="Arial"/>
          <w:i/>
          <w:iCs/>
          <w:sz w:val="20"/>
          <w:szCs w:val="20"/>
        </w:rPr>
        <w:t>&lt;ông (bà)/t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có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sau đây: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&lt;Họ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và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tên&gt;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>: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Giới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sinh:…</w:t>
      </w:r>
      <w:r w:rsidRPr="00E327EE">
        <w:rPr>
          <w:rFonts w:ascii="Arial" w:hAnsi="Arial" w:cs="Arial"/>
          <w:sz w:val="20"/>
          <w:szCs w:val="20"/>
          <w:lang w:val="en-US"/>
        </w:rPr>
        <w:t>./…/………………………………………….</w:t>
      </w:r>
      <w:r w:rsidRPr="00E327EE">
        <w:rPr>
          <w:rFonts w:ascii="Arial" w:hAnsi="Arial" w:cs="Arial"/>
          <w:sz w:val="20"/>
          <w:szCs w:val="20"/>
        </w:rPr>
        <w:t xml:space="preserve"> Quốc tịch: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………………..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>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định danh cá nhân/CMND/Hộ chiếu: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 w:rsidRPr="00E327EE">
        <w:rPr>
          <w:rFonts w:ascii="Arial" w:hAnsi="Arial" w:cs="Arial"/>
          <w:sz w:val="20"/>
          <w:szCs w:val="20"/>
        </w:rPr>
        <w:t>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…./…./………………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E327EE">
        <w:rPr>
          <w:rFonts w:ascii="Arial" w:hAnsi="Arial" w:cs="Arial"/>
          <w:sz w:val="20"/>
          <w:szCs w:val="20"/>
          <w:lang w:val="en-US"/>
        </w:rPr>
        <w:t>(*): …………………………………………………………………………………….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Địa chỉ trụ sở chính: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M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số doanh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Số GCN đăng ký đ</w:t>
      </w:r>
      <w:r w:rsidRPr="00E327EE">
        <w:rPr>
          <w:rFonts w:ascii="Arial" w:hAnsi="Arial" w:cs="Arial"/>
          <w:sz w:val="20"/>
          <w:szCs w:val="20"/>
          <w:lang w:val="en-US"/>
        </w:rPr>
        <w:t>ầ</w:t>
      </w:r>
      <w:r w:rsidRPr="00E327EE">
        <w:rPr>
          <w:rFonts w:ascii="Arial" w:hAnsi="Arial" w:cs="Arial"/>
          <w:sz w:val="20"/>
          <w:szCs w:val="20"/>
        </w:rPr>
        <w:t>u tư/doanh nghiệp hoặc GP thành lập/đ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ng ký hoạt động:…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………………….</w:t>
      </w:r>
      <w:r w:rsidRPr="00E327EE">
        <w:rPr>
          <w:rFonts w:ascii="Arial" w:hAnsi="Arial" w:cs="Arial"/>
          <w:sz w:val="20"/>
          <w:szCs w:val="20"/>
        </w:rPr>
        <w:t xml:space="preserve">; 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…./…/……………..;</w:t>
      </w:r>
      <w:r w:rsidRPr="00E327EE">
        <w:rPr>
          <w:rFonts w:ascii="Arial" w:hAnsi="Arial" w:cs="Arial"/>
          <w:sz w:val="20"/>
          <w:szCs w:val="20"/>
        </w:rPr>
        <w:t xml:space="preserve">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Giới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Chức danh: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2. Lý do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(7)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3. Phạm vi khám: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(8)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4. Thời gian khám: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………………………………………………………………………………………..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2.</w:t>
      </w:r>
      <w:r w:rsidRPr="00E327EE">
        <w:rPr>
          <w:rFonts w:ascii="Arial" w:hAnsi="Arial" w:cs="Arial"/>
          <w:sz w:val="20"/>
          <w:szCs w:val="20"/>
        </w:rPr>
        <w:t xml:space="preserve"> Quyết định này có hiệu lực thi hành kể từ ngày ký.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Quyết định này được: 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Giao cho ông (bà)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(9)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 xml:space="preserve">là </w:t>
      </w:r>
      <w:r w:rsidRPr="00E327EE">
        <w:rPr>
          <w:rFonts w:ascii="Arial" w:hAnsi="Arial" w:cs="Arial"/>
          <w:i/>
          <w:iCs/>
          <w:sz w:val="20"/>
          <w:szCs w:val="20"/>
        </w:rPr>
        <w:t>&lt;c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á </w:t>
      </w:r>
      <w:r w:rsidRPr="00E327EE">
        <w:rPr>
          <w:rFonts w:ascii="Arial" w:hAnsi="Arial" w:cs="Arial"/>
          <w:i/>
          <w:iCs/>
          <w:sz w:val="20"/>
          <w:szCs w:val="20"/>
        </w:rPr>
        <w:t>nhân/người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nơi cất giấu tang vật, phương tiện vi phạm hành chính là chỗ ở có tên tại Điều 1 Quyết định này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ể chấp hành.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lastRenderedPageBreak/>
        <w:t xml:space="preserve">a) </w:t>
      </w:r>
      <w:r w:rsidRPr="00E327EE">
        <w:rPr>
          <w:rFonts w:ascii="Arial" w:hAnsi="Arial" w:cs="Arial"/>
          <w:i/>
          <w:iCs/>
          <w:sz w:val="20"/>
          <w:szCs w:val="20"/>
        </w:rPr>
        <w:t>&lt;Ông (bà)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E327EE">
        <w:rPr>
          <w:rFonts w:ascii="Arial" w:hAnsi="Arial" w:cs="Arial"/>
          <w:i/>
          <w:iCs/>
          <w:sz w:val="20"/>
          <w:szCs w:val="20"/>
        </w:rPr>
        <w:t>T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chứ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c</w:t>
      </w:r>
      <w:r w:rsidRPr="00E327EE">
        <w:rPr>
          <w:rFonts w:ascii="Arial" w:hAnsi="Arial" w:cs="Arial"/>
          <w:i/>
          <w:iCs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nơi cất giấu tang vật, phương tiện vi phạm hành chính là chỗ ở có tên tại Điều 1 phải nghiêm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>nh chấp hành Quyết định này.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b)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 xml:space="preserve"> (1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có quyền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khiếu nại hoặc khởi kiện hành chính đối với Quyết định này theo quy định của pháp luật.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2. Gửi cho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>để tổ chức thực hiện.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3. Gửi cho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E327EE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>để biết và phối hợp thực hiện./.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F5EEA" w:rsidRPr="00E327EE" w:rsidTr="00B51497">
        <w:tc>
          <w:tcPr>
            <w:tcW w:w="4428" w:type="dxa"/>
          </w:tcPr>
          <w:p w:rsidR="003F5EEA" w:rsidRPr="00E327EE" w:rsidRDefault="003F5EEA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 Như Điều 3;</w:t>
            </w:r>
            <w:r w:rsidRPr="00E327EE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CHỦ TỊCH ỦY BAN NHÂN DÂN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(Ký, đóng dấu; ghi r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</w:tc>
      </w:tr>
    </w:tbl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E327EE">
        <w:rPr>
          <w:rFonts w:ascii="Arial" w:hAnsi="Arial" w:cs="Arial"/>
          <w:sz w:val="20"/>
          <w:szCs w:val="20"/>
          <w:lang w:val="en-US"/>
        </w:rPr>
        <w:t>(**)</w:t>
      </w:r>
      <w:r w:rsidRPr="00E327EE">
        <w:rPr>
          <w:rFonts w:ascii="Arial" w:hAnsi="Arial" w:cs="Arial"/>
          <w:sz w:val="20"/>
          <w:szCs w:val="20"/>
        </w:rPr>
        <w:t xml:space="preserve"> Quyết định đ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giao trực tiếp cho </w:t>
      </w:r>
      <w:r w:rsidRPr="00E327EE">
        <w:rPr>
          <w:rFonts w:ascii="Arial" w:hAnsi="Arial" w:cs="Arial"/>
          <w:i/>
          <w:iCs/>
          <w:sz w:val="20"/>
          <w:szCs w:val="20"/>
        </w:rPr>
        <w:t>&lt;cá nhâ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n/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người đại diện của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bị áp dụng biện pháp ngăn chặn khám nơi cất gi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u tang v</w:t>
      </w:r>
      <w:r w:rsidRPr="00E327EE">
        <w:rPr>
          <w:rFonts w:ascii="Arial" w:hAnsi="Arial" w:cs="Arial"/>
          <w:sz w:val="20"/>
          <w:szCs w:val="20"/>
          <w:lang w:val="en-US"/>
        </w:rPr>
        <w:t>ậ</w:t>
      </w:r>
      <w:r w:rsidRPr="00E327EE">
        <w:rPr>
          <w:rFonts w:ascii="Arial" w:hAnsi="Arial" w:cs="Arial"/>
          <w:sz w:val="20"/>
          <w:szCs w:val="20"/>
        </w:rPr>
        <w:t>t, phương tiện vi phạm hành chính là chỗ ở vào hồi.... giờ.... phút, ngày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…./…./……</w:t>
      </w:r>
    </w:p>
    <w:p w:rsidR="003F5EEA" w:rsidRPr="00E327EE" w:rsidRDefault="003F5EEA" w:rsidP="003F5EEA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F5EEA" w:rsidRPr="00E327EE" w:rsidTr="00B51497">
        <w:tc>
          <w:tcPr>
            <w:tcW w:w="442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3F5EEA" w:rsidRPr="00E327EE" w:rsidRDefault="003F5EEA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*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 xml:space="preserve">u này được sử dụng để ra quyết định 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p dụng biện pháp ngăn chặn khám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u tang vật, phương tiện vi phạm hành chính l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ch</w:t>
      </w:r>
      <w:r w:rsidRPr="00E327EE">
        <w:rPr>
          <w:rFonts w:ascii="Arial" w:hAnsi="Arial" w:cs="Arial"/>
          <w:sz w:val="20"/>
          <w:szCs w:val="20"/>
          <w:lang w:val="en-US"/>
        </w:rPr>
        <w:t>ỗ</w:t>
      </w:r>
      <w:r w:rsidRPr="00E327EE">
        <w:rPr>
          <w:rFonts w:ascii="Arial" w:hAnsi="Arial" w:cs="Arial"/>
          <w:sz w:val="20"/>
          <w:szCs w:val="20"/>
        </w:rPr>
        <w:t xml:space="preserve"> ở quy định tại khoản 2 Điều 129 Luật Xử lý vi phạm hành chính (sửa đổi, bổ sung năm 2020).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Lưu ý lựa chọn và ghi thông tin cho phù hợp với thực t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 xml:space="preserve"> của vụ vi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c.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 xml:space="preserve">(**) </w:t>
      </w:r>
      <w:r w:rsidRPr="00E327EE">
        <w:rPr>
          <w:rFonts w:ascii="Arial" w:hAnsi="Arial" w:cs="Arial"/>
          <w:sz w:val="20"/>
          <w:szCs w:val="20"/>
        </w:rPr>
        <w:t>Áp dụng đối với trường hợp quyết định được giao trực tiếp cho cá nh</w:t>
      </w:r>
      <w:r w:rsidRPr="00E327EE">
        <w:rPr>
          <w:rFonts w:ascii="Arial" w:hAnsi="Arial" w:cs="Arial"/>
          <w:sz w:val="20"/>
          <w:szCs w:val="20"/>
          <w:lang w:val="en-US"/>
        </w:rPr>
        <w:t>â</w:t>
      </w:r>
      <w:r w:rsidRPr="00E327EE">
        <w:rPr>
          <w:rFonts w:ascii="Arial" w:hAnsi="Arial" w:cs="Arial"/>
          <w:sz w:val="20"/>
          <w:szCs w:val="20"/>
        </w:rPr>
        <w:t xml:space="preserve">n/người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ại di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n của tổ chức bị áp dụng biện pháp ng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 chặn khám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 là ch</w:t>
      </w:r>
      <w:r w:rsidRPr="00E327EE">
        <w:rPr>
          <w:rFonts w:ascii="Arial" w:hAnsi="Arial" w:cs="Arial"/>
          <w:sz w:val="20"/>
          <w:szCs w:val="20"/>
          <w:lang w:val="en-US"/>
        </w:rPr>
        <w:t>ỗ</w:t>
      </w:r>
      <w:r w:rsidRPr="00E327EE">
        <w:rPr>
          <w:rFonts w:ascii="Arial" w:hAnsi="Arial" w:cs="Arial"/>
          <w:sz w:val="20"/>
          <w:szCs w:val="20"/>
        </w:rPr>
        <w:t xml:space="preserve"> ở.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G</w:t>
      </w:r>
      <w:r w:rsidRPr="00E327EE">
        <w:rPr>
          <w:rFonts w:ascii="Arial" w:hAnsi="Arial" w:cs="Arial"/>
          <w:sz w:val="20"/>
          <w:szCs w:val="20"/>
        </w:rPr>
        <w:t>hi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Ủy ban nhân dân quận/huyện/th</w:t>
      </w:r>
      <w:r w:rsidRPr="00E327EE">
        <w:rPr>
          <w:rFonts w:ascii="Arial" w:hAnsi="Arial" w:cs="Arial"/>
          <w:sz w:val="20"/>
          <w:szCs w:val="20"/>
          <w:lang w:val="en-US"/>
        </w:rPr>
        <w:t>ị</w:t>
      </w:r>
      <w:r w:rsidRPr="00E327EE">
        <w:rPr>
          <w:rFonts w:ascii="Arial" w:hAnsi="Arial" w:cs="Arial"/>
          <w:sz w:val="20"/>
          <w:szCs w:val="20"/>
        </w:rPr>
        <w:t xml:space="preserve"> x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>/thành phố thuộc tỉnh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tương đương nơi ra quyết định áp dụng biện pháp ngăn chặn khám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 là chỗ ở theo hướng dẫn về thể thức của Chính phủ.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địa danh theo hướng dẫn về thể thức của Chính phủ.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chức danh và tên cơ quan của người có th</w:t>
      </w:r>
      <w:r w:rsidRPr="00E327EE">
        <w:rPr>
          <w:rFonts w:ascii="Arial" w:hAnsi="Arial" w:cs="Arial"/>
          <w:sz w:val="20"/>
          <w:szCs w:val="20"/>
          <w:lang w:val="en-US"/>
        </w:rPr>
        <w:t>ẩ</w:t>
      </w:r>
      <w:r w:rsidRPr="00E327EE">
        <w:rPr>
          <w:rFonts w:ascii="Arial" w:hAnsi="Arial" w:cs="Arial"/>
          <w:sz w:val="20"/>
          <w:szCs w:val="20"/>
        </w:rPr>
        <w:t>m quy</w:t>
      </w:r>
      <w:r w:rsidRPr="00E327EE">
        <w:rPr>
          <w:rFonts w:ascii="Arial" w:hAnsi="Arial" w:cs="Arial"/>
          <w:sz w:val="20"/>
          <w:szCs w:val="20"/>
          <w:lang w:val="en-US"/>
        </w:rPr>
        <w:t>ề</w:t>
      </w:r>
      <w:r w:rsidRPr="00E327EE">
        <w:rPr>
          <w:rFonts w:ascii="Arial" w:hAnsi="Arial" w:cs="Arial"/>
          <w:sz w:val="20"/>
          <w:szCs w:val="20"/>
        </w:rPr>
        <w:t xml:space="preserve">n </w:t>
      </w:r>
      <w:r w:rsidRPr="00E327EE">
        <w:rPr>
          <w:rFonts w:ascii="Arial" w:hAnsi="Arial" w:cs="Arial"/>
          <w:sz w:val="20"/>
          <w:szCs w:val="20"/>
          <w:lang w:val="en-US"/>
        </w:rPr>
        <w:t>đề</w:t>
      </w:r>
      <w:r w:rsidRPr="00E327EE">
        <w:rPr>
          <w:rFonts w:ascii="Arial" w:hAnsi="Arial" w:cs="Arial"/>
          <w:sz w:val="20"/>
          <w:szCs w:val="20"/>
        </w:rPr>
        <w:t xml:space="preserve"> nghị ra quyết định áp dụng biện pháp ng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 ch</w:t>
      </w:r>
      <w:r w:rsidRPr="00E327EE">
        <w:rPr>
          <w:rFonts w:ascii="Arial" w:hAnsi="Arial" w:cs="Arial"/>
          <w:sz w:val="20"/>
          <w:szCs w:val="20"/>
          <w:lang w:val="en-US"/>
        </w:rPr>
        <w:t>ặ</w:t>
      </w:r>
      <w:r w:rsidRPr="00E327EE">
        <w:rPr>
          <w:rFonts w:ascii="Arial" w:hAnsi="Arial" w:cs="Arial"/>
          <w:sz w:val="20"/>
          <w:szCs w:val="20"/>
        </w:rPr>
        <w:t>n khá</w:t>
      </w:r>
      <w:r w:rsidRPr="00E327EE">
        <w:rPr>
          <w:rFonts w:ascii="Arial" w:hAnsi="Arial" w:cs="Arial"/>
          <w:sz w:val="20"/>
          <w:szCs w:val="20"/>
          <w:lang w:val="en-US"/>
        </w:rPr>
        <w:t>m</w:t>
      </w:r>
      <w:r w:rsidRPr="00E327EE">
        <w:rPr>
          <w:rFonts w:ascii="Arial" w:hAnsi="Arial" w:cs="Arial"/>
          <w:sz w:val="20"/>
          <w:szCs w:val="20"/>
        </w:rPr>
        <w:t xml:space="preserve">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 l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chỗ </w:t>
      </w:r>
      <w:r w:rsidRPr="00E327EE">
        <w:rPr>
          <w:rFonts w:ascii="Arial" w:hAnsi="Arial" w:cs="Arial"/>
          <w:sz w:val="20"/>
          <w:szCs w:val="20"/>
          <w:lang w:val="en-US"/>
        </w:rPr>
        <w:t>ở</w:t>
      </w:r>
      <w:r w:rsidRPr="00E327EE">
        <w:rPr>
          <w:rFonts w:ascii="Arial" w:hAnsi="Arial" w:cs="Arial"/>
          <w:sz w:val="20"/>
          <w:szCs w:val="20"/>
        </w:rPr>
        <w:t>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r</w:t>
      </w:r>
      <w:r w:rsidRPr="00E327EE">
        <w:rPr>
          <w:rFonts w:ascii="Arial" w:hAnsi="Arial" w:cs="Arial"/>
          <w:sz w:val="20"/>
          <w:szCs w:val="20"/>
          <w:lang w:val="en-US"/>
        </w:rPr>
        <w:t>õ</w:t>
      </w:r>
      <w:r w:rsidRPr="00E327EE">
        <w:rPr>
          <w:rFonts w:ascii="Arial" w:hAnsi="Arial" w:cs="Arial"/>
          <w:sz w:val="20"/>
          <w:szCs w:val="20"/>
        </w:rPr>
        <w:t xml:space="preserve"> nơi khám và địa chỉ cụ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của nơi bị kh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m l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chỗ ở.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3F5EEA">
        <w:rPr>
          <w:rFonts w:ascii="Arial" w:hAnsi="Arial" w:cs="Arial"/>
          <w:sz w:val="20"/>
          <w:szCs w:val="20"/>
          <w:vertAlign w:val="superscript"/>
        </w:rPr>
        <w:t>5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họ và tên của người đại diện theo pháp luật của doanh nghi</w:t>
      </w:r>
      <w:r w:rsidRPr="003F5EEA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>p/người đứng đầu tổ chức không phải là doanh nghiệp.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3F5EEA">
        <w:rPr>
          <w:rFonts w:ascii="Arial" w:hAnsi="Arial" w:cs="Arial"/>
          <w:sz w:val="20"/>
          <w:szCs w:val="20"/>
          <w:vertAlign w:val="superscript"/>
        </w:rPr>
        <w:t>6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chức danh của người đại di</w:t>
      </w:r>
      <w:r w:rsidRPr="003F5EEA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>n theo ph</w:t>
      </w:r>
      <w:r w:rsidRPr="003F5EEA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p luật của doanh nghi</w:t>
      </w:r>
      <w:r w:rsidRPr="003F5EEA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 xml:space="preserve">p/người đứng </w:t>
      </w:r>
      <w:r w:rsidRPr="003F5EEA">
        <w:rPr>
          <w:rFonts w:ascii="Arial" w:hAnsi="Arial" w:cs="Arial"/>
          <w:sz w:val="20"/>
          <w:szCs w:val="20"/>
        </w:rPr>
        <w:t>đ</w:t>
      </w:r>
      <w:r w:rsidRPr="00E327EE">
        <w:rPr>
          <w:rFonts w:ascii="Arial" w:hAnsi="Arial" w:cs="Arial"/>
          <w:sz w:val="20"/>
          <w:szCs w:val="20"/>
        </w:rPr>
        <w:t>ầu tổ chức không phải là doanh nghiệp.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3F5EEA">
        <w:rPr>
          <w:rFonts w:ascii="Arial" w:hAnsi="Arial" w:cs="Arial"/>
          <w:sz w:val="20"/>
          <w:szCs w:val="20"/>
          <w:vertAlign w:val="superscript"/>
        </w:rPr>
        <w:t>7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cụ th</w:t>
      </w:r>
      <w:r w:rsidRPr="003F5EEA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lý do kh</w:t>
      </w:r>
      <w:r w:rsidRPr="003F5EEA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m nơi cất gi</w:t>
      </w:r>
      <w:r w:rsidRPr="003F5EEA">
        <w:rPr>
          <w:rFonts w:ascii="Arial" w:hAnsi="Arial" w:cs="Arial"/>
          <w:sz w:val="20"/>
          <w:szCs w:val="20"/>
        </w:rPr>
        <w:t>ấ</w:t>
      </w:r>
      <w:r w:rsidRPr="00E327EE">
        <w:rPr>
          <w:rFonts w:ascii="Arial" w:hAnsi="Arial" w:cs="Arial"/>
          <w:sz w:val="20"/>
          <w:szCs w:val="20"/>
        </w:rPr>
        <w:t>u tang vật, phương tiện vi phạm hành chính theo từng trường hợp quy định tại khoản 1 Đi</w:t>
      </w:r>
      <w:r w:rsidRPr="003F5EEA">
        <w:rPr>
          <w:rFonts w:ascii="Arial" w:hAnsi="Arial" w:cs="Arial"/>
          <w:sz w:val="20"/>
          <w:szCs w:val="20"/>
        </w:rPr>
        <w:t>ề</w:t>
      </w:r>
      <w:r w:rsidRPr="00E327EE">
        <w:rPr>
          <w:rFonts w:ascii="Arial" w:hAnsi="Arial" w:cs="Arial"/>
          <w:sz w:val="20"/>
          <w:szCs w:val="20"/>
        </w:rPr>
        <w:t>u 129 Luật Xử lý vi phạm hành chính (sửa đ</w:t>
      </w:r>
      <w:r w:rsidRPr="003F5EEA">
        <w:rPr>
          <w:rFonts w:ascii="Arial" w:hAnsi="Arial" w:cs="Arial"/>
          <w:sz w:val="20"/>
          <w:szCs w:val="20"/>
        </w:rPr>
        <w:t>ổ</w:t>
      </w:r>
      <w:r w:rsidRPr="00E327EE">
        <w:rPr>
          <w:rFonts w:ascii="Arial" w:hAnsi="Arial" w:cs="Arial"/>
          <w:sz w:val="20"/>
          <w:szCs w:val="20"/>
        </w:rPr>
        <w:t>i, bổ sung n</w:t>
      </w:r>
      <w:r w:rsidRPr="003F5EEA">
        <w:rPr>
          <w:rFonts w:ascii="Arial" w:hAnsi="Arial" w:cs="Arial"/>
          <w:sz w:val="20"/>
          <w:szCs w:val="20"/>
        </w:rPr>
        <w:t>ă</w:t>
      </w:r>
      <w:r w:rsidRPr="00E327EE">
        <w:rPr>
          <w:rFonts w:ascii="Arial" w:hAnsi="Arial" w:cs="Arial"/>
          <w:sz w:val="20"/>
          <w:szCs w:val="20"/>
        </w:rPr>
        <w:t>m 2020).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3F5EEA">
        <w:rPr>
          <w:rFonts w:ascii="Arial" w:hAnsi="Arial" w:cs="Arial"/>
          <w:sz w:val="20"/>
          <w:szCs w:val="20"/>
          <w:vertAlign w:val="superscript"/>
        </w:rPr>
        <w:t>8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r</w:t>
      </w:r>
      <w:r w:rsidRPr="003F5EEA">
        <w:rPr>
          <w:rFonts w:ascii="Arial" w:hAnsi="Arial" w:cs="Arial"/>
          <w:sz w:val="20"/>
          <w:szCs w:val="20"/>
        </w:rPr>
        <w:t>õ</w:t>
      </w:r>
      <w:r w:rsidRPr="00E327EE">
        <w:rPr>
          <w:rFonts w:ascii="Arial" w:hAnsi="Arial" w:cs="Arial"/>
          <w:sz w:val="20"/>
          <w:szCs w:val="20"/>
        </w:rPr>
        <w:t xml:space="preserve"> kh</w:t>
      </w:r>
      <w:r w:rsidRPr="003F5EEA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m một phần hay toàn bộ chỗ ở là nơi c</w:t>
      </w:r>
      <w:r w:rsidRPr="003F5EEA">
        <w:rPr>
          <w:rFonts w:ascii="Arial" w:hAnsi="Arial" w:cs="Arial"/>
          <w:sz w:val="20"/>
          <w:szCs w:val="20"/>
        </w:rPr>
        <w:t>ấ</w:t>
      </w:r>
      <w:r w:rsidRPr="00E327EE">
        <w:rPr>
          <w:rFonts w:ascii="Arial" w:hAnsi="Arial" w:cs="Arial"/>
          <w:sz w:val="20"/>
          <w:szCs w:val="20"/>
        </w:rPr>
        <w:t>t gi</w:t>
      </w:r>
      <w:r w:rsidRPr="003F5EEA">
        <w:rPr>
          <w:rFonts w:ascii="Arial" w:hAnsi="Arial" w:cs="Arial"/>
          <w:sz w:val="20"/>
          <w:szCs w:val="20"/>
        </w:rPr>
        <w:t>ấ</w:t>
      </w:r>
      <w:r w:rsidRPr="00E327EE">
        <w:rPr>
          <w:rFonts w:ascii="Arial" w:hAnsi="Arial" w:cs="Arial"/>
          <w:sz w:val="20"/>
          <w:szCs w:val="20"/>
        </w:rPr>
        <w:t>u tang vật, phương tiện vi phạm hành chính.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9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nhân/người đại diện của tổ chức là chủ sở h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 xml:space="preserve">u/quản lý/sử dụng chỗ </w:t>
      </w:r>
      <w:r w:rsidRPr="00E327EE">
        <w:rPr>
          <w:rFonts w:ascii="Arial" w:hAnsi="Arial" w:cs="Arial"/>
          <w:sz w:val="20"/>
          <w:szCs w:val="20"/>
          <w:lang w:val="en-US"/>
        </w:rPr>
        <w:t>ở</w:t>
      </w:r>
      <w:r w:rsidRPr="00E327EE">
        <w:rPr>
          <w:rFonts w:ascii="Arial" w:hAnsi="Arial" w:cs="Arial"/>
          <w:sz w:val="20"/>
          <w:szCs w:val="20"/>
        </w:rPr>
        <w:t xml:space="preserve"> làm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giấu tang vật, phương tiện vi phạm hành chính.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là chủ sở h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>u/quản lý/sử dụng ch</w:t>
      </w:r>
      <w:r w:rsidRPr="00E327EE">
        <w:rPr>
          <w:rFonts w:ascii="Arial" w:hAnsi="Arial" w:cs="Arial"/>
          <w:sz w:val="20"/>
          <w:szCs w:val="20"/>
          <w:lang w:val="en-US"/>
        </w:rPr>
        <w:t>ỗ</w:t>
      </w:r>
      <w:r w:rsidRPr="00E327EE">
        <w:rPr>
          <w:rFonts w:ascii="Arial" w:hAnsi="Arial" w:cs="Arial"/>
          <w:sz w:val="20"/>
          <w:szCs w:val="20"/>
        </w:rPr>
        <w:t xml:space="preserve"> ở là nơi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t gi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u tang vật, phương tiện vi phạm hành chính.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1)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nhân/tên của tổ chức có trách nhiệm chủ trì tổ chức thực hi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n vi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c khám.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12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họ và tên c</w:t>
      </w:r>
      <w:r w:rsidRPr="00E327EE">
        <w:rPr>
          <w:rFonts w:ascii="Arial" w:hAnsi="Arial" w:cs="Arial"/>
          <w:sz w:val="20"/>
          <w:szCs w:val="20"/>
          <w:lang w:val="en-US"/>
        </w:rPr>
        <w:t>ủ</w:t>
      </w:r>
      <w:r w:rsidRPr="00E327EE">
        <w:rPr>
          <w:rFonts w:ascii="Arial" w:hAnsi="Arial" w:cs="Arial"/>
          <w:sz w:val="20"/>
          <w:szCs w:val="20"/>
        </w:rPr>
        <w:t>a c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nh</w:t>
      </w:r>
      <w:r w:rsidRPr="00E327EE">
        <w:rPr>
          <w:rFonts w:ascii="Arial" w:hAnsi="Arial" w:cs="Arial"/>
          <w:sz w:val="20"/>
          <w:szCs w:val="20"/>
        </w:rPr>
        <w:t>ân/t</w:t>
      </w:r>
      <w:r w:rsidRPr="00E327EE">
        <w:rPr>
          <w:rFonts w:ascii="Arial" w:hAnsi="Arial" w:cs="Arial"/>
          <w:sz w:val="20"/>
          <w:szCs w:val="20"/>
          <w:lang w:val="en-US"/>
        </w:rPr>
        <w:t>ên</w:t>
      </w:r>
      <w:r w:rsidRPr="00E327EE">
        <w:rPr>
          <w:rFonts w:ascii="Arial" w:hAnsi="Arial" w:cs="Arial"/>
          <w:sz w:val="20"/>
          <w:szCs w:val="20"/>
        </w:rPr>
        <w:t xml:space="preserve"> của cơ quan, tổ chức có li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quan (nếu có).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13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Ghi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quận/huyện/thị x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>/thành phố thuộc t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>nh và tương đương.</w:t>
      </w:r>
    </w:p>
    <w:p w:rsidR="003F5EEA" w:rsidRPr="00E327EE" w:rsidRDefault="003F5EEA" w:rsidP="003F5EE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EA"/>
    <w:rsid w:val="001F6943"/>
    <w:rsid w:val="003F5EEA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99C91D2-AE54-41E7-9F79-7CED164A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EEA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F5EEA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3F5EEA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2021-12-31T01:34:00Z</dcterms:created>
  <dcterms:modified xsi:type="dcterms:W3CDTF">2021-12-31T01:34:00Z</dcterms:modified>
</cp:coreProperties>
</file>